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русскому языку в школе</w:t>
            </w:r>
          </w:p>
          <w:p>
            <w:pPr>
              <w:jc w:val="center"/>
              <w:spacing w:after="0" w:line="240" w:lineRule="auto"/>
              <w:rPr>
                <w:sz w:val="32"/>
                <w:szCs w:val="32"/>
              </w:rPr>
            </w:pPr>
            <w:r>
              <w:rPr>
                <w:rFonts w:ascii="Times New Roman" w:hAnsi="Times New Roman" w:cs="Times New Roman"/>
                <w:color w:val="#000000"/>
                <w:sz w:val="32"/>
                <w:szCs w:val="32"/>
              </w:rPr>
              <w:t> К.М.06.02.01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«Русский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31.153"/>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/Безденежных М.А./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русскому языку в школе»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К.М.06.02.01 «Методика обучения русскому языку в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русскому языку в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основные закономерности возрастного развития когнитивной и личностной сфер обучающихся</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методы анализа педагогической ситуации, профессиональной рефлексии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уметь применять методы анализа педагогической ситуации, профессиональной рефлексии на основе специальных научных знаний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ОПК-8.4 владеть навыками проектирования и осуществления учебно-воспитательного процесса с опорой на знания основных закономерностей возрастного развития когнитивной и личностной сфер обучающихся, научно-обоснованных закономерностей организации образовательного процесса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поддержку и сопровождение обучающихся в процессе достижения метапредметных, предметных и личностных результатов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алгоритм постановки воспитательных целей, проектирования воспитательной деятельности и методов ее реализации с требованиями ФГОС</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уметь объяснять и анализировать поступки детей, реальное состояние дел в группе с учетом культурных различий детей, возрастных и индивидуальных особенностей детей, межличностных отношений и динамики социализации личности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владеть способами организации оценки различных видов деятельности ребенка (учебной, игровой, трудовой,  спортивной, художественной и т.д.), методы и формы организации коллективных творческих дел, экскурсий, походов, экспедиций и других мероприятий (по выбору)</w:t>
            </w:r>
          </w:p>
        </w:tc>
      </w:tr>
      <w:tr>
        <w:trPr>
          <w:trHeight w:hRule="exact" w:val="277.8312"/>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применять предметные знания при реализации образовательного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41.695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отбор предметного содержания, методов, приемов и технологий, в том числе информационных, обучения предмету, организационные формы учебных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 диагностики в соответствии с планируемыми результатами обучения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проектировать результаты обучения в соответствии с нормативными документами в сфере образования, возрастными особенностями обучающихся, дидактическими задачами занятия; проектировать план-конспект/технологическую карту занятия</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навыком формирования познавательной мотивации обучающихся к предмету в рамках урочной и внеурочной деятельности</w:t>
            </w:r>
          </w:p>
        </w:tc>
      </w:tr>
      <w:tr>
        <w:trPr>
          <w:trHeight w:hRule="exact" w:val="277.8301"/>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деятельность обучающихся, направленную на развитие интереса к учебным предметам в рамках урочной и внеурочной деятельности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образовательную среду школы в целях достижения личностных, предметных и метапредметных результатов обучения средствами предмета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использовать образовательный потенциал социокультурной среды региона в преподавании предмета и во внеурочной деятельности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навыком обосновывать необходимость включения различных компонентов социокультурной среды региона в образовательный процесс</w:t>
            </w:r>
          </w:p>
        </w:tc>
      </w:tr>
      <w:tr>
        <w:trPr>
          <w:trHeight w:hRule="exact" w:val="277.8299"/>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ПК-7</w:t>
            </w:r>
          </w:p>
          <w:p>
            <w:pPr>
              <w:jc w:val="left"/>
              <w:spacing w:after="0" w:line="240" w:lineRule="auto"/>
              <w:rPr>
                <w:sz w:val="24"/>
                <w:szCs w:val="24"/>
              </w:rPr>
            </w:pPr>
            <w:r>
              <w:rPr>
                <w:rFonts w:ascii="Times New Roman" w:hAnsi="Times New Roman" w:cs="Times New Roman"/>
                <w:b/>
                <w:color w:val="#000000"/>
                <w:sz w:val="24"/>
                <w:szCs w:val="24"/>
              </w:rPr>
              <w:t> Способен разрабатывать и реализовывать культурно-просветительские программы в соответствии с потребностями различных социальных групп</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ПК-7.1 знать  технологии и методики культурно-просветительской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ПК-7.2 уметь организовать культурно-образовательное пространство, используя содержание учебного предмета «Русский язык»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ПК-7.3 уметь участвовать в популяризации предметных знаний среди различных групп населения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ПК-7.4 владеть навыком использования отечественного и зарубежного опыта организации культурно-просветительской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ПК-9</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индивидуальные образовательные маршруты обучающихся по преподаваемым учебным предметам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ПК-9.1 знать  различные средства оценивания индивидуальных достижений обучающихся при изучении предмета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ПК-9.2 уметь разрабатывать индивидуально ориентированные учебные материалы по русскому языку с учетом индивидуальных особенностей обучающихся, их особых образовательных потребностей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ПК-9.3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8.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К.М.06.02.01 «Методика обучения русскому языку в школе» относится к обязательной части, является дисциплиной Блока Б1. «Дисциплины (модули)». "Методы обучения в предметной области "Филология. Русский язык"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85.18"/>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44.03.01 Педагогическое образование.</w:t>
            </w:r>
          </w:p>
        </w:tc>
      </w:tr>
      <w:tr>
        <w:trPr>
          <w:trHeight w:hRule="exact" w:val="138.91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268.96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(адаптационная)</w:t>
            </w:r>
          </w:p>
          <w:p>
            <w:pPr>
              <w:jc w:val="center"/>
              <w:spacing w:after="0" w:line="240" w:lineRule="auto"/>
              <w:rPr>
                <w:sz w:val="22"/>
                <w:szCs w:val="22"/>
              </w:rPr>
            </w:pPr>
            <w:r>
              <w:rPr>
                <w:rFonts w:ascii="Times New Roman" w:hAnsi="Times New Roman" w:cs="Times New Roman"/>
                <w:color w:val="#000000"/>
                <w:sz w:val="22"/>
                <w:szCs w:val="22"/>
              </w:rPr>
              <w:t> Психология</w:t>
            </w:r>
          </w:p>
          <w:p>
            <w:pPr>
              <w:jc w:val="center"/>
              <w:spacing w:after="0" w:line="240" w:lineRule="auto"/>
              <w:rPr>
                <w:sz w:val="22"/>
                <w:szCs w:val="22"/>
              </w:rPr>
            </w:pPr>
            <w:r>
              <w:rPr>
                <w:rFonts w:ascii="Times New Roman" w:hAnsi="Times New Roman" w:cs="Times New Roman"/>
                <w:color w:val="#000000"/>
                <w:sz w:val="22"/>
                <w:szCs w:val="22"/>
              </w:rPr>
              <w:t> Учебная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Риторика</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 Морфология</w:t>
            </w:r>
          </w:p>
          <w:p>
            <w:pPr>
              <w:jc w:val="center"/>
              <w:spacing w:after="0" w:line="240" w:lineRule="auto"/>
              <w:rPr>
                <w:sz w:val="22"/>
                <w:szCs w:val="22"/>
              </w:rPr>
            </w:pPr>
            <w:r>
              <w:rPr>
                <w:rFonts w:ascii="Times New Roman" w:hAnsi="Times New Roman" w:cs="Times New Roman"/>
                <w:color w:val="#000000"/>
                <w:sz w:val="22"/>
                <w:szCs w:val="22"/>
              </w:rPr>
              <w:t> Стилистика и литературное редактирование</w:t>
            </w:r>
          </w:p>
          <w:p>
            <w:pPr>
              <w:jc w:val="center"/>
              <w:spacing w:after="0" w:line="240" w:lineRule="auto"/>
              <w:rPr>
                <w:sz w:val="22"/>
                <w:szCs w:val="22"/>
              </w:rPr>
            </w:pPr>
            <w:r>
              <w:rPr>
                <w:rFonts w:ascii="Times New Roman" w:hAnsi="Times New Roman" w:cs="Times New Roman"/>
                <w:color w:val="#000000"/>
                <w:sz w:val="22"/>
                <w:szCs w:val="22"/>
              </w:rPr>
              <w:t> Теория языка</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Практикум по орфографии и пунктуации</w:t>
            </w:r>
          </w:p>
          <w:p>
            <w:pPr>
              <w:jc w:val="center"/>
              <w:spacing w:after="0" w:line="240" w:lineRule="auto"/>
              <w:rPr>
                <w:sz w:val="22"/>
                <w:szCs w:val="22"/>
              </w:rPr>
            </w:pPr>
            <w:r>
              <w:rPr>
                <w:rFonts w:ascii="Times New Roman" w:hAnsi="Times New Roman" w:cs="Times New Roman"/>
                <w:color w:val="#000000"/>
                <w:sz w:val="22"/>
                <w:szCs w:val="22"/>
              </w:rPr>
              <w:t> Речевые практики</w:t>
            </w:r>
          </w:p>
          <w:p>
            <w:pPr>
              <w:jc w:val="center"/>
              <w:spacing w:after="0" w:line="240" w:lineRule="auto"/>
              <w:rPr>
                <w:sz w:val="22"/>
                <w:szCs w:val="22"/>
              </w:rPr>
            </w:pPr>
            <w:r>
              <w:rPr>
                <w:rFonts w:ascii="Times New Roman" w:hAnsi="Times New Roman" w:cs="Times New Roman"/>
                <w:color w:val="#000000"/>
                <w:sz w:val="22"/>
                <w:szCs w:val="22"/>
              </w:rPr>
              <w:t> История русской лексикографии</w:t>
            </w:r>
          </w:p>
          <w:p>
            <w:pPr>
              <w:jc w:val="center"/>
              <w:spacing w:after="0" w:line="240" w:lineRule="auto"/>
              <w:rPr>
                <w:sz w:val="22"/>
                <w:szCs w:val="22"/>
              </w:rPr>
            </w:pPr>
            <w:r>
              <w:rPr>
                <w:rFonts w:ascii="Times New Roman" w:hAnsi="Times New Roman" w:cs="Times New Roman"/>
                <w:color w:val="#000000"/>
                <w:sz w:val="22"/>
                <w:szCs w:val="22"/>
              </w:rPr>
              <w:t> История русской лингвистической терминологии</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 Лексикология</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 Морфемика и словообразование</w:t>
            </w:r>
          </w:p>
          <w:p>
            <w:pPr>
              <w:jc w:val="center"/>
              <w:spacing w:after="0" w:line="240" w:lineRule="auto"/>
              <w:rPr>
                <w:sz w:val="22"/>
                <w:szCs w:val="22"/>
              </w:rPr>
            </w:pPr>
            <w:r>
              <w:rPr>
                <w:rFonts w:ascii="Times New Roman" w:hAnsi="Times New Roman" w:cs="Times New Roman"/>
                <w:color w:val="#000000"/>
                <w:sz w:val="22"/>
                <w:szCs w:val="22"/>
              </w:rPr>
              <w:t> Современный русский язык. Фонетика</w:t>
            </w:r>
          </w:p>
          <w:p>
            <w:pPr>
              <w:jc w:val="center"/>
              <w:spacing w:after="0" w:line="240" w:lineRule="auto"/>
              <w:rPr>
                <w:sz w:val="22"/>
                <w:szCs w:val="22"/>
              </w:rPr>
            </w:pPr>
            <w:r>
              <w:rPr>
                <w:rFonts w:ascii="Times New Roman" w:hAnsi="Times New Roman" w:cs="Times New Roman"/>
                <w:color w:val="#000000"/>
                <w:sz w:val="22"/>
                <w:szCs w:val="22"/>
              </w:rPr>
              <w:t> Этика профессиональной деятельности педагога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Методика подготовки к олимпиадам различного уровня по русскому языку</w:t>
            </w:r>
          </w:p>
          <w:p>
            <w:pPr>
              <w:jc w:val="center"/>
              <w:spacing w:after="0" w:line="240" w:lineRule="auto"/>
              <w:rPr>
                <w:sz w:val="22"/>
                <w:szCs w:val="22"/>
              </w:rPr>
            </w:pPr>
            <w:r>
              <w:rPr>
                <w:rFonts w:ascii="Times New Roman" w:hAnsi="Times New Roman" w:cs="Times New Roman"/>
                <w:color w:val="#000000"/>
                <w:sz w:val="22"/>
                <w:szCs w:val="22"/>
              </w:rPr>
              <w:t> Обучение лиц с ОВЗ</w:t>
            </w:r>
          </w:p>
          <w:p>
            <w:pPr>
              <w:jc w:val="center"/>
              <w:spacing w:after="0" w:line="240" w:lineRule="auto"/>
              <w:rPr>
                <w:sz w:val="22"/>
                <w:szCs w:val="22"/>
              </w:rPr>
            </w:pPr>
            <w:r>
              <w:rPr>
                <w:rFonts w:ascii="Times New Roman" w:hAnsi="Times New Roman" w:cs="Times New Roman"/>
                <w:color w:val="#000000"/>
                <w:sz w:val="22"/>
                <w:szCs w:val="22"/>
              </w:rPr>
              <w:t> Организация подготовки к ГИА по русскому языку</w:t>
            </w:r>
          </w:p>
          <w:p>
            <w:pPr>
              <w:jc w:val="center"/>
              <w:spacing w:after="0" w:line="240" w:lineRule="auto"/>
              <w:rPr>
                <w:sz w:val="22"/>
                <w:szCs w:val="22"/>
              </w:rPr>
            </w:pPr>
            <w:r>
              <w:rPr>
                <w:rFonts w:ascii="Times New Roman" w:hAnsi="Times New Roman" w:cs="Times New Roman"/>
                <w:color w:val="#000000"/>
                <w:sz w:val="22"/>
                <w:szCs w:val="22"/>
              </w:rPr>
              <w:t> Применение активных методов обучения на уроках в основной и старшей школе</w:t>
            </w:r>
          </w:p>
          <w:p>
            <w:pPr>
              <w:jc w:val="center"/>
              <w:spacing w:after="0" w:line="240" w:lineRule="auto"/>
              <w:rPr>
                <w:sz w:val="22"/>
                <w:szCs w:val="22"/>
              </w:rPr>
            </w:pPr>
            <w:r>
              <w:rPr>
                <w:rFonts w:ascii="Times New Roman" w:hAnsi="Times New Roman" w:cs="Times New Roman"/>
                <w:color w:val="#000000"/>
                <w:sz w:val="22"/>
                <w:szCs w:val="22"/>
              </w:rPr>
              <w:t> Проектная деятельность в основной и старшей школе</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Производственная (преддипломная)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ПК-2, ПК-3, ПК-4, ПК-7, ПК-9</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Методика преподавания русского языка как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Методика преподавания русского языка как наука, основные этапы её развития. Цели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Сущность компетентностного подхода к обучению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Методика преподавания русского языка как наука, основные этапы её развития. Цели методики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 Сущность компетентностного подхода к обучению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3. Актуальные проблемы современной методической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4. Интегративный подход в методике преподавания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Русский язык как учебный предмет</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Специфика русского языка как учебного предмета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6. Культуроведческий и эстетический аспекты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7. Логико-грамматический, структурно- семантический, фукнционально-стилистический, коммуникативно-деятельностный, текстоцентрический, личностноориентированный подходы к обучению русскому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8. Дидактические единицы курса «Русский язык» (слово, текст, модель коммуникативной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Содержание обучения русскому языку в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Требования государственных стандартов школ Российской  Федерации. Обеспечение единых условий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Единый государственный экзамен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Программы по русскому языку как средство конкретизации содержания образования. Структура программы, принципы построения программ. Особенности действующих программ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Учебный комплекс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Требования государственных стандартов школ Российской  Федерации. Обеспечение единых условий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8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10. Единый государственный экзамен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11. Программы по русскому языку как средство конкретизации содержания образования. Структура программы, принципы построения программ. Особенности действующих программ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12. Учебный комплекс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Принципы и методы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Общедидактические и частнодидактические принципы обучения в преподавании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Методы и приемы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Общедидактические и частнодидактические принципы обучения в преподавании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14. Методы и приемы обучения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Этапы обучения. Связь метода с этапом обучения. Методы и приемы формирования понятий, выработки умений и навыков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16. Методы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15. Этапы обучения. Связь метода с этапом обучения. Методы и приемы формирования понятий, выработки умений и навыков по русскому языку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Современный урок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Отличительные черты уроков на современном этапе. Основные типы и формы уроков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Структура уроков русского языка. Опрос на уроках русского языка. Требования к формулировкам вопросов. Домашнее задание, их виды, способы индивидуализации и дифференциации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Основные требования к уроку русского языка на современном этапе. Недостатки в построении уроков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18. Отличительные черты уроков на современном этапе. Основные типы и формы уроков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19. Структура уроков русского языка. Опрос на уроках русского языка. Требования к формулировкам вопросов. Домашнее задание, их виды, способы индивидуализации и дифференциации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20. Анализ урока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Основные требования к уроку русского языка на современном этапе. Недостатки в построении уроков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938.6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Методика преподавания русского языка как наука, основные этапы её развития. Цели методики преподавания русского языка</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 Сущность компетентностного подхода к обучению русскому языку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Требования государственных стандартов школ Российской  Федерации. Обеспечение единых условий обучения русскому языку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Общедидактические и частнодидактические принципы обучения в преподавании русского языка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14. Методы и приемы обучения русскому языку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10. Единый государственный экзамен по русскому языку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11. Программы по русскому языку как средство конкретизации содержания образования. Структура программы, принципы построения программ. Особенности действующих программ по русскому языку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12. Учебный комплекс по русскому языку</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18. Отличительные черты уроков на современном этапе. Основные типы и формы уроков русского языка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19. Структура уроков русского языка. Опрос на уроках русского языка. Требования к формулировкам вопросов. Домашнее задание, их виды, способы индивидуализации и дифференциации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15. Этапы обучения. Связь метода с этапом обучения. Методы и приемы формирования понятий, выработки умений и навыков по русскому языку</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Основные требования к уроку русского языка на современном этапе. Недостатки в построении уроков русского языка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русскому языку в школе» / Безденежных М.А..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Литвинко</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Минск:</w:t>
            </w:r>
            <w:r>
              <w:rPr/>
              <w:t xml:space="preserve"> </w:t>
            </w:r>
            <w:r>
              <w:rPr>
                <w:rFonts w:ascii="Times New Roman" w:hAnsi="Times New Roman" w:cs="Times New Roman"/>
                <w:color w:val="#000000"/>
                <w:sz w:val="24"/>
                <w:szCs w:val="24"/>
              </w:rPr>
              <w:t>Вышэйшая</w:t>
            </w:r>
            <w:r>
              <w:rPr/>
              <w:t xml:space="preserve"> </w:t>
            </w:r>
            <w:r>
              <w:rPr>
                <w:rFonts w:ascii="Times New Roman" w:hAnsi="Times New Roman" w:cs="Times New Roman"/>
                <w:color w:val="#000000"/>
                <w:sz w:val="24"/>
                <w:szCs w:val="24"/>
              </w:rPr>
              <w:t>школа,</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978-985-06-2598-4.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http://www.iprbookshop.ru/48009.html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Метапредметное</w:t>
            </w:r>
            <w:r>
              <w:rPr/>
              <w:t xml:space="preserve"> </w:t>
            </w:r>
            <w:r>
              <w:rPr>
                <w:rFonts w:ascii="Times New Roman" w:hAnsi="Times New Roman" w:cs="Times New Roman"/>
                <w:color w:val="#000000"/>
                <w:sz w:val="24"/>
                <w:szCs w:val="24"/>
              </w:rPr>
              <w:t>обучение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978-5-534-12611-2.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https://urait.ru/bcode/448021</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задачах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упражнениях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Гац</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978-5-534-09310-0.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https://urait.ru/bcode/455422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Контрольные</w:t>
            </w:r>
            <w:r>
              <w:rPr/>
              <w:t xml:space="preserve"> </w:t>
            </w:r>
            <w:r>
              <w:rPr>
                <w:rFonts w:ascii="Times New Roman" w:hAnsi="Times New Roman" w:cs="Times New Roman"/>
                <w:color w:val="#000000"/>
                <w:sz w:val="24"/>
                <w:szCs w:val="24"/>
              </w:rPr>
              <w:t>измерительные</w:t>
            </w:r>
            <w:r>
              <w:rPr/>
              <w:t xml:space="preserve"> </w:t>
            </w:r>
            <w:r>
              <w:rPr>
                <w:rFonts w:ascii="Times New Roman" w:hAnsi="Times New Roman" w:cs="Times New Roman"/>
                <w:color w:val="#000000"/>
                <w:sz w:val="24"/>
                <w:szCs w:val="24"/>
              </w:rPr>
              <w:t>материалы</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основному</w:t>
            </w:r>
            <w:r>
              <w:rPr/>
              <w:t xml:space="preserve"> </w:t>
            </w:r>
            <w:r>
              <w:rPr>
                <w:rFonts w:ascii="Times New Roman" w:hAnsi="Times New Roman" w:cs="Times New Roman"/>
                <w:color w:val="#000000"/>
                <w:sz w:val="24"/>
                <w:szCs w:val="24"/>
              </w:rPr>
              <w:t>государственному</w:t>
            </w:r>
            <w:r>
              <w:rPr/>
              <w:t xml:space="preserve"> </w:t>
            </w:r>
            <w:r>
              <w:rPr>
                <w:rFonts w:ascii="Times New Roman" w:hAnsi="Times New Roman" w:cs="Times New Roman"/>
                <w:color w:val="#000000"/>
                <w:sz w:val="24"/>
                <w:szCs w:val="24"/>
              </w:rPr>
              <w:t>экзамену</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класс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Хазиева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Виктория</w:t>
            </w:r>
            <w:r>
              <w:rPr/>
              <w:t xml:space="preserve"> </w:t>
            </w:r>
            <w:r>
              <w:rPr>
                <w:rFonts w:ascii="Times New Roman" w:hAnsi="Times New Roman" w:cs="Times New Roman"/>
                <w:color w:val="#000000"/>
                <w:sz w:val="24"/>
                <w:szCs w:val="24"/>
              </w:rPr>
              <w:t>плюс,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978-5-91673-145-3.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http://www.iprbookshop.ru/38565.html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Урок</w:t>
            </w:r>
            <w:r>
              <w:rPr/>
              <w:t xml:space="preserve"> </w:t>
            </w:r>
            <w:r>
              <w:rPr>
                <w:rFonts w:ascii="Times New Roman" w:hAnsi="Times New Roman" w:cs="Times New Roman"/>
                <w:color w:val="#000000"/>
                <w:sz w:val="24"/>
                <w:szCs w:val="24"/>
              </w:rPr>
              <w:t>родного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ЕГЭ</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Горшкова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Новосибирск:</w:t>
            </w:r>
            <w:r>
              <w:rPr/>
              <w:t xml:space="preserve"> </w:t>
            </w:r>
            <w:r>
              <w:rPr>
                <w:rFonts w:ascii="Times New Roman" w:hAnsi="Times New Roman" w:cs="Times New Roman"/>
                <w:color w:val="#000000"/>
                <w:sz w:val="24"/>
                <w:szCs w:val="24"/>
              </w:rPr>
              <w:t>Новосибирский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технический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978-5-7782-2124-6.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http://www.iprbookshop.ru/44697.html</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русскому</w:t>
            </w:r>
            <w:r>
              <w:rPr/>
              <w:t xml:space="preserve"> </w:t>
            </w:r>
            <w:r>
              <w:rPr>
                <w:rFonts w:ascii="Times New Roman" w:hAnsi="Times New Roman" w:cs="Times New Roman"/>
                <w:color w:val="#000000"/>
                <w:sz w:val="24"/>
                <w:szCs w:val="24"/>
              </w:rPr>
              <w:t>языку:</w:t>
            </w:r>
            <w:r>
              <w:rPr/>
              <w:t xml:space="preserve"> </w:t>
            </w:r>
            <w:r>
              <w:rPr>
                <w:rFonts w:ascii="Times New Roman" w:hAnsi="Times New Roman" w:cs="Times New Roman"/>
                <w:color w:val="#000000"/>
                <w:sz w:val="24"/>
                <w:szCs w:val="24"/>
              </w:rPr>
              <w:t>типы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структура</w:t>
            </w:r>
            <w:r>
              <w:rPr/>
              <w:t xml:space="preserve"> </w:t>
            </w:r>
            <w:r>
              <w:rPr>
                <w:rFonts w:ascii="Times New Roman" w:hAnsi="Times New Roman" w:cs="Times New Roman"/>
                <w:color w:val="#000000"/>
                <w:sz w:val="24"/>
                <w:szCs w:val="24"/>
              </w:rPr>
              <w:t>уроков</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(грамматика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правописание)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Рябухина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Фоминых</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Пермь:</w:t>
            </w:r>
            <w:r>
              <w:rPr/>
              <w:t xml:space="preserve"> </w:t>
            </w:r>
            <w:r>
              <w:rPr>
                <w:rFonts w:ascii="Times New Roman" w:hAnsi="Times New Roman" w:cs="Times New Roman"/>
                <w:color w:val="#000000"/>
                <w:sz w:val="24"/>
                <w:szCs w:val="24"/>
              </w:rPr>
              <w:t>Пермский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гуманитарно-педагогический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http://www.iprbookshop.ru/70638.html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методики</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биографических</w:t>
            </w:r>
            <w:r>
              <w:rPr/>
              <w:t xml:space="preserve"> </w:t>
            </w:r>
            <w:r>
              <w:rPr>
                <w:rFonts w:ascii="Times New Roman" w:hAnsi="Times New Roman" w:cs="Times New Roman"/>
                <w:color w:val="#000000"/>
                <w:sz w:val="24"/>
                <w:szCs w:val="24"/>
              </w:rPr>
              <w:t>очерках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Дейкина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Янченко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978-5-4263-0565-6.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http://www.iprbookshop.ru/75803.html</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Креативно</w:t>
            </w:r>
            <w:r>
              <w:rPr/>
              <w:t xml:space="preserve"> </w:t>
            </w:r>
            <w:r>
              <w:rPr>
                <w:rFonts w:ascii="Times New Roman" w:hAnsi="Times New Roman" w:cs="Times New Roman"/>
                <w:color w:val="#000000"/>
                <w:sz w:val="24"/>
                <w:szCs w:val="24"/>
              </w:rPr>
              <w:t>ориентированная</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фактор</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профессионального</w:t>
            </w:r>
            <w:r>
              <w:rPr/>
              <w:t xml:space="preserve"> </w:t>
            </w:r>
            <w:r>
              <w:rPr>
                <w:rFonts w:ascii="Times New Roman" w:hAnsi="Times New Roman" w:cs="Times New Roman"/>
                <w:color w:val="#000000"/>
                <w:sz w:val="24"/>
                <w:szCs w:val="24"/>
              </w:rPr>
              <w:t>мышления</w:t>
            </w:r>
            <w:r>
              <w:rPr/>
              <w:t xml:space="preserve"> </w:t>
            </w:r>
            <w:r>
              <w:rPr>
                <w:rFonts w:ascii="Times New Roman" w:hAnsi="Times New Roman" w:cs="Times New Roman"/>
                <w:color w:val="#000000"/>
                <w:sz w:val="24"/>
                <w:szCs w:val="24"/>
              </w:rPr>
              <w:t>будущего</w:t>
            </w:r>
            <w:r>
              <w:rPr/>
              <w:t xml:space="preserve"> </w:t>
            </w:r>
            <w:r>
              <w:rPr>
                <w:rFonts w:ascii="Times New Roman" w:hAnsi="Times New Roman" w:cs="Times New Roman"/>
                <w:color w:val="#000000"/>
                <w:sz w:val="24"/>
                <w:szCs w:val="24"/>
              </w:rPr>
              <w:t>учителя</w:t>
            </w:r>
            <w:r>
              <w:rPr/>
              <w:t xml:space="preserve"> </w:t>
            </w:r>
            <w:r>
              <w:rPr>
                <w:rFonts w:ascii="Times New Roman" w:hAnsi="Times New Roman" w:cs="Times New Roman"/>
                <w:color w:val="#000000"/>
                <w:sz w:val="24"/>
                <w:szCs w:val="24"/>
              </w:rPr>
              <w:t>русского</w:t>
            </w:r>
            <w:r>
              <w:rPr/>
              <w:t xml:space="preserve"> </w:t>
            </w:r>
            <w:r>
              <w:rPr>
                <w:rFonts w:ascii="Times New Roman" w:hAnsi="Times New Roman" w:cs="Times New Roman"/>
                <w:color w:val="#000000"/>
                <w:sz w:val="24"/>
                <w:szCs w:val="24"/>
              </w:rPr>
              <w:t>языка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Гордиенко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Дейкина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978-5-4263-0552-6.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http://www.iprbookshop.ru/75806.html</w:t>
            </w:r>
            <w:r>
              <w:rPr/>
              <w:t xml:space="preserve"> </w:t>
            </w:r>
          </w:p>
        </w:tc>
      </w:tr>
      <w:tr>
        <w:trPr>
          <w:trHeight w:hRule="exact" w:val="390.872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2024-2025_ФГОС3++2024_Бак-ЗФО-ПО(РЯ)(24)_plx_Методика обучения русскому языку в школе</dc:title>
  <dc:creator>FastReport.NET</dc:creator>
</cp:coreProperties>
</file>